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42195F" w:rsidRPr="0042195F" w:rsidRDefault="0042195F" w:rsidP="0042195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2195F">
        <w:rPr>
          <w:rFonts w:ascii="Arial" w:eastAsia="Times New Roman" w:hAnsi="Arial" w:cs="Arial"/>
          <w:b/>
          <w:sz w:val="20"/>
          <w:szCs w:val="20"/>
          <w:lang w:eastAsia="es-ES"/>
        </w:rPr>
        <w:t>Artículo 62.-</w:t>
      </w:r>
      <w:r w:rsidRPr="0042195F">
        <w:rPr>
          <w:rFonts w:ascii="Arial" w:eastAsia="Times New Roman" w:hAnsi="Arial" w:cs="Arial"/>
          <w:sz w:val="20"/>
          <w:szCs w:val="20"/>
          <w:lang w:eastAsia="es-ES"/>
        </w:rPr>
        <w:t xml:space="preserve"> En la suspensión, rescisión administrativa o terminación anticipada de los contratos deberá observarse lo siguiente:</w:t>
      </w:r>
    </w:p>
    <w:p w:rsidR="0042195F" w:rsidRPr="0042195F" w:rsidRDefault="0042195F" w:rsidP="0042195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42195F" w:rsidRPr="0042195F" w:rsidRDefault="0042195F" w:rsidP="0042195F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42195F" w:rsidRPr="0042195F" w:rsidRDefault="0042195F" w:rsidP="0042195F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2195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IV.</w:t>
      </w:r>
      <w:r w:rsidRPr="0042195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ab/>
      </w:r>
      <w:r w:rsidRPr="0042195F">
        <w:rPr>
          <w:rFonts w:ascii="Arial" w:eastAsia="Times New Roman" w:hAnsi="Arial" w:cs="Arial"/>
          <w:sz w:val="20"/>
          <w:szCs w:val="20"/>
          <w:lang w:eastAsia="es-ES"/>
        </w:rPr>
        <w:t xml:space="preserve">Cuando por caso fortuito o fuerza mayor se imposibilite la continuación de los trabajos, el contratista podrá optar por no ejecutarlos. En este supuesto, </w:t>
      </w:r>
      <w:r w:rsidRPr="00A663FD">
        <w:rPr>
          <w:rFonts w:ascii="Arial" w:eastAsia="Times New Roman" w:hAnsi="Arial" w:cs="Arial"/>
          <w:b/>
          <w:i/>
          <w:sz w:val="20"/>
          <w:szCs w:val="20"/>
          <w:u w:val="single"/>
          <w:lang w:eastAsia="es-ES"/>
        </w:rPr>
        <w:t>si opta por la terminación anticipada del contrato, deberá solicitarla a la dependencia o entidad,</w:t>
      </w:r>
      <w:r w:rsidRPr="0042195F">
        <w:rPr>
          <w:rFonts w:ascii="Arial" w:eastAsia="Times New Roman" w:hAnsi="Arial" w:cs="Arial"/>
          <w:sz w:val="20"/>
          <w:szCs w:val="20"/>
          <w:lang w:eastAsia="es-ES"/>
        </w:rPr>
        <w:t xml:space="preserve"> quien determinará lo conducente dentro de los quince días naturales siguientes a la </w:t>
      </w:r>
      <w:bookmarkStart w:id="0" w:name="_GoBack"/>
      <w:bookmarkEnd w:id="0"/>
      <w:r w:rsidRPr="0042195F">
        <w:rPr>
          <w:rFonts w:ascii="Arial" w:eastAsia="Times New Roman" w:hAnsi="Arial" w:cs="Arial"/>
          <w:sz w:val="20"/>
          <w:szCs w:val="20"/>
          <w:lang w:eastAsia="es-ES"/>
        </w:rPr>
        <w:t>presentación del escrito respectivo; en caso de negativa, será necesario que el contratista obtenga de la autoridad judicial la declaratoria correspondiente, pero si la dependencia o entidad no contesta en dicho plazo, se tendrá por aceptada la petición del contratista.</w:t>
      </w:r>
    </w:p>
    <w:p w:rsidR="0042195F" w:rsidRDefault="0042195F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sectPr w:rsidR="004219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32644F"/>
    <w:rsid w:val="003437FB"/>
    <w:rsid w:val="0042195F"/>
    <w:rsid w:val="00542F87"/>
    <w:rsid w:val="0060626A"/>
    <w:rsid w:val="006B2828"/>
    <w:rsid w:val="006F7B91"/>
    <w:rsid w:val="007D6E43"/>
    <w:rsid w:val="009442E2"/>
    <w:rsid w:val="009B1A51"/>
    <w:rsid w:val="00A547EB"/>
    <w:rsid w:val="00A663FD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2013-04-11T18:44:00Z</dcterms:created>
  <dcterms:modified xsi:type="dcterms:W3CDTF">2013-04-15T18:38:00Z</dcterms:modified>
</cp:coreProperties>
</file>